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8784A" w:rsidRPr="007133F2" w:rsidTr="00F8784A">
        <w:tc>
          <w:tcPr>
            <w:tcW w:w="9355" w:type="dxa"/>
          </w:tcPr>
          <w:bookmarkStart w:id="0" w:name="_GoBack"/>
          <w:bookmarkEnd w:id="0"/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Strong"/>
                <w:rFonts w:asciiTheme="majorBidi" w:hAnsiTheme="majorBidi"/>
                <w:color w:val="auto"/>
                <w:sz w:val="20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"https://socialworklicensure.org/types-of-social-workers/administration-policy-research" \t "_blank" </w:instrText>
            </w:r>
            <w:r>
              <w:fldChar w:fldCharType="separate"/>
            </w:r>
            <w:r w:rsidRPr="007133F2"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  <w:t>Social Worker in Administration, Policy and Research</w:t>
            </w:r>
            <w:r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  <w:fldChar w:fldCharType="end"/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History of social service management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Social policy implementation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Organizational research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Contemporary management and leadership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Governance issues facing human service organizations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b/>
                <w:color w:val="auto"/>
              </w:rPr>
            </w:pPr>
            <w:r w:rsidRPr="007133F2">
              <w:rPr>
                <w:rStyle w:val="Hyperlink"/>
                <w:b/>
                <w:color w:val="auto"/>
              </w:rPr>
              <w:t xml:space="preserve">Child, Family, and youth social Work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Divorce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Family problems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Domestic violence prevention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Family empowerment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Family centered Social work interventions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Family issues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Family relationships and parenting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Family poverty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Family violence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Alcohol and other drugs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6" w:tgtFrame="_blank" w:history="1"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School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Bullying and anti-social behaviors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Disability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Social relationships and supports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Exclusion of students on the basis of perceived cultural, linguistic or other difference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Students in juvenile justice, out-of-home care 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Child abuse and neglect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Housing and transience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Limited community and social supports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Schooling issues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Home-school relationship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Support for students with disabilities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Engagement and attendance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Need for modified curriculum, wellbeing strategies and learning environment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7" w:tgtFrame="_blank" w:history="1"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Community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Good governance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Social policy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Citizenship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Social distance 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8" w:tgtFrame="_blank" w:history="1"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Criminal Justice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Coping skills training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Life skills development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Case management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Forensic social work in criminal justice </w:t>
            </w:r>
          </w:p>
          <w:p w:rsidR="00F8784A" w:rsidRPr="007133F2" w:rsidRDefault="00F8784A" w:rsidP="007133F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0"/>
              <w:rPr>
                <w:rFonts w:asciiTheme="majorBidi" w:eastAsiaTheme="majorEastAsia" w:hAnsiTheme="majorBidi" w:cstheme="majorBidi"/>
                <w:sz w:val="20"/>
                <w:szCs w:val="20"/>
              </w:rPr>
            </w:pP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9" w:tgtFrame="_blank" w:history="1">
              <w:proofErr w:type="spellStart"/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Gerontological</w:t>
              </w:r>
              <w:proofErr w:type="spellEnd"/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 xml:space="preserve">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Long-term care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insurance issues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Strengths-based and empowerment-oriented ways to work with elderly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Elder abuse 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10" w:tgtFrame="_blank" w:history="1"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Mental Health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Care giver issues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Social work intervention in mental health and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Group work with mental illness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Forensic social work in mental illness 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11" w:tgtFrame="_blank" w:history="1">
              <w:r w:rsidRPr="007133F2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Palliative and Hospice Social Work</w:t>
              </w:r>
            </w:hyperlink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Hospice Social Work Methods and Interventions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Hospice Social Work roles 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End-of-life care</w:t>
            </w:r>
          </w:p>
          <w:p w:rsidR="00F8784A" w:rsidRPr="007133F2" w:rsidRDefault="00F8784A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7133F2"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Social work education </w:t>
            </w:r>
          </w:p>
          <w:p w:rsidR="00F8784A" w:rsidRPr="007133F2" w:rsidRDefault="00F8784A" w:rsidP="008B509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0"/>
              <w:rPr>
                <w:rFonts w:asciiTheme="majorBidi" w:eastAsiaTheme="majorEastAsia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Theme="majorEastAsia" w:hAnsiTheme="majorBidi" w:cstheme="majorBidi"/>
                <w:sz w:val="20"/>
                <w:szCs w:val="20"/>
              </w:rPr>
              <w:t>Professionalization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Codes of ethic in social work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Development of professional social work requirements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Development of educational models of social work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Social work and virtual education</w:t>
            </w:r>
          </w:p>
          <w:p w:rsidR="00F8784A" w:rsidRPr="007133F2" w:rsidRDefault="00F8784A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Mindfulness in social work training</w:t>
            </w:r>
          </w:p>
          <w:p w:rsidR="00F8784A" w:rsidRPr="007133F2" w:rsidRDefault="00F8784A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CDD6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wguide.org/careers/criminal-justice-social-wor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ocialworklicensure.org/types-of-social-workers/community-social-worke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ialworklicensure.org/articles/become-a-school-social-worker" TargetMode="External"/><Relationship Id="rId11" Type="http://schemas.openxmlformats.org/officeDocument/2006/relationships/hyperlink" Target="https://socialworklicensure.org/types-of-social-workers/palliative-hospice-social-work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ialworklicensure.org/types-of-social-workers/mental-health-substance-ab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licensure.org/types-of-social-workers/gerontological-social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2FD4-FD80-4699-8E0F-077597CB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2021-09-19T06:17:00Z</dcterms:modified>
</cp:coreProperties>
</file>