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EF5930" w:rsidRPr="002822A1" w:rsidTr="00EF5930">
        <w:tc>
          <w:tcPr>
            <w:tcW w:w="10165" w:type="dxa"/>
          </w:tcPr>
          <w:p w:rsidR="00EF5930" w:rsidRPr="002822A1" w:rsidRDefault="00EF5930" w:rsidP="00A94B4F">
            <w:pPr>
              <w:pStyle w:val="NormalWeb"/>
              <w:spacing w:after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>Hematology:</w:t>
            </w:r>
          </w:p>
          <w:p w:rsidR="00EF5930" w:rsidRPr="002822A1" w:rsidRDefault="00EF5930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- RBC Disorders:</w:t>
            </w:r>
          </w:p>
          <w:p w:rsidR="00EF5930" w:rsidRPr="002822A1" w:rsidRDefault="00EF5930" w:rsidP="007E72EC">
            <w:pPr>
              <w:pStyle w:val="NormalWeb"/>
              <w:spacing w:after="0"/>
              <w:ind w:left="69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Hypo proliferative Anemias: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Iron Deficiency Anemia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Megaloblastic Anemia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Others </w:t>
            </w:r>
          </w:p>
          <w:p w:rsidR="00EF5930" w:rsidRPr="002822A1" w:rsidRDefault="00EF5930" w:rsidP="007E72EC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Hemolytic Anemias: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Membrane Disorders: Hereditary Spherocytosis, …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Hemoglobin Disorders: Thalassemia, Sickling Disorders, … 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Metabolic Disorders: G6PD Deficiency, …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Acquired (Extrinsic):  Chemical, Infectious, Immune Hemolytic Anemias   </w:t>
            </w:r>
          </w:p>
          <w:p w:rsidR="00EF5930" w:rsidRPr="002822A1" w:rsidRDefault="00EF5930" w:rsidP="007E72EC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Polycythemia: 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8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Relative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8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Absolute </w:t>
            </w:r>
          </w:p>
          <w:p w:rsidR="00EF5930" w:rsidRPr="002822A1" w:rsidRDefault="00EF5930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- WBC Disorders: </w:t>
            </w:r>
          </w:p>
          <w:p w:rsidR="00EF5930" w:rsidRPr="002822A1" w:rsidRDefault="00EF5930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Non-Neoplastic Disorders: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Granulocytic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Monocytic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Lymphocytic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Plasmacytic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Leukemoid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Reactions</w:t>
            </w:r>
          </w:p>
          <w:p w:rsidR="00EF5930" w:rsidRPr="002822A1" w:rsidRDefault="00EF5930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Neoplastic Disorders: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Chronic Myeloproliferative Disorders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Acute Myeloid Leukemia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Precursor Lymphoid Neoplasms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Mature B Cell Neoplasms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Mature T Cell and NKC neoplasms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Hodgkin Lymphoma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Histiocytic and Dendritic Cell Neoplasms </w:t>
            </w:r>
          </w:p>
          <w:p w:rsidR="00EF5930" w:rsidRPr="002822A1" w:rsidRDefault="00EF5930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 xml:space="preserve"> Blood Banking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: </w:t>
            </w:r>
          </w:p>
          <w:p w:rsidR="00EF5930" w:rsidRPr="002822A1" w:rsidRDefault="00EF5930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Immunohematology: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1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RBC Antigens &amp; Antibodies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1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Immunohematology Tests</w:t>
            </w:r>
          </w:p>
          <w:p w:rsidR="00EF5930" w:rsidRPr="002822A1" w:rsidRDefault="00EF5930" w:rsidP="00183640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Transfusion Medicine: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Blood Components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Pre-Transfusion Tests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Transfusion Reactions </w:t>
            </w:r>
          </w:p>
          <w:p w:rsidR="00EF5930" w:rsidRPr="002822A1" w:rsidRDefault="00EF5930" w:rsidP="00183640">
            <w:pPr>
              <w:pStyle w:val="NormalWeb"/>
              <w:spacing w:after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 xml:space="preserve">Hemostasis &amp; Thrombosis: </w:t>
            </w:r>
          </w:p>
          <w:p w:rsidR="00EF5930" w:rsidRPr="002822A1" w:rsidRDefault="00EF5930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Coagulation &amp; Fibrinolysis: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Coagulation Protein System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Anticoagulation Protein System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Tests for Coagulation Disorders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Hereditary Coagulation Protein Defects: Hemophilia, …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Acquired Coagulation Disorders: TTP, Liver Dis, … </w:t>
            </w:r>
          </w:p>
          <w:p w:rsidR="00EF5930" w:rsidRPr="002822A1" w:rsidRDefault="00EF5930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Platelet Disorders &amp;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vWB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Disease: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Platelet Function Disorders: Hereditary, Acquired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Quantitative Platelet Disorders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VON WILLEBRAND Factor Disorders </w:t>
            </w:r>
          </w:p>
          <w:p w:rsidR="00EF5930" w:rsidRPr="002822A1" w:rsidRDefault="00EF5930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Thrombotic Risk Evaluation: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5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Thrombophilic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Proteins </w:t>
            </w:r>
          </w:p>
          <w:p w:rsidR="00EF5930" w:rsidRPr="002822A1" w:rsidRDefault="00EF5930" w:rsidP="00A20867">
            <w:pPr>
              <w:pStyle w:val="NormalWeb"/>
              <w:numPr>
                <w:ilvl w:val="0"/>
                <w:numId w:val="135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Hypercoagulable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State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A1CFAC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E3A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2099B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2050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00E7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ABFE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C83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5648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AC0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A1CFAC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E3A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2099B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2050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00E7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ABFE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C83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5648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AC0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A1CFAC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E3A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2099B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2050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00E7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ABFE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C83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5648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AC0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A1CFAC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E3A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2099B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2050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00E7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ABFE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C83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5648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AC0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21A72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EF5930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9D6B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32C7-59AE-4E12-A32A-3D12758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2021-09-19T04:54:00Z</dcterms:modified>
</cp:coreProperties>
</file>