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FA37B6" w:rsidRPr="002822A1" w:rsidTr="00FA37B6">
        <w:tc>
          <w:tcPr>
            <w:tcW w:w="9895" w:type="dxa"/>
          </w:tcPr>
          <w:p w:rsidR="00FA37B6" w:rsidRPr="002822A1" w:rsidRDefault="00FA37B6" w:rsidP="002633E7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Medical Parasitology Three major groups; </w:t>
            </w:r>
          </w:p>
          <w:p w:rsidR="00FA37B6" w:rsidRPr="002822A1" w:rsidRDefault="00FA37B6" w:rsidP="00D6124C">
            <w:pPr>
              <w:pStyle w:val="NormalWeb"/>
              <w:spacing w:after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Parasitic protozoa</w:t>
            </w:r>
          </w:p>
          <w:p w:rsidR="00FA37B6" w:rsidRPr="002822A1" w:rsidRDefault="00FA37B6" w:rsidP="00D6124C">
            <w:pPr>
              <w:pStyle w:val="NormalWeb"/>
              <w:spacing w:after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Parasitic helminths (worms) </w:t>
            </w:r>
          </w:p>
          <w:p w:rsidR="00FA37B6" w:rsidRPr="002822A1" w:rsidRDefault="00FA37B6" w:rsidP="00D6124C">
            <w:pPr>
              <w:pStyle w:val="NormalWeb"/>
              <w:spacing w:after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Arthropods (directly cause disease or act as vectors) </w:t>
            </w:r>
          </w:p>
          <w:p w:rsidR="00FA37B6" w:rsidRPr="002822A1" w:rsidRDefault="00FA37B6" w:rsidP="002633E7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Epidemiology and control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disease etiology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disease surveillance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drug resistance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geographical spread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Screening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Biomonitoring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5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comparisons of treatment effects in clinical trial b. Chemotherapy  </w:t>
            </w:r>
          </w:p>
          <w:p w:rsidR="00FA37B6" w:rsidRPr="002822A1" w:rsidRDefault="00FA37B6" w:rsidP="002633E7">
            <w:pPr>
              <w:pStyle w:val="NormalWeb"/>
              <w:spacing w:after="0"/>
              <w:ind w:left="28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FA37B6" w:rsidRPr="002822A1" w:rsidRDefault="00FA37B6" w:rsidP="00574CFD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Immunoparasitology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(a broad branch of biomedical science that covers the study of all aspects of the immune system in all organisms)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mechanisms of host-parasite interactions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parasitic evasion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host inflammatory responses and pathology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host protection mediated by effector molecules and cells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regulatory responses elicited by infection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6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the critical role of the crosstalk between the innate and acquired immunities in host defense.</w:t>
            </w:r>
          </w:p>
          <w:p w:rsidR="00FA37B6" w:rsidRPr="002822A1" w:rsidRDefault="00FA37B6" w:rsidP="00574CFD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Pathophysiology (the study of the processes underlying disease)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mechanisms of pathogenicity from the structural and physiological processes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plasma protein kinetics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the hematological indices associated with parasitic infections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body defense against parasitic infection;</w:t>
            </w:r>
          </w:p>
          <w:p w:rsidR="00FA37B6" w:rsidRPr="002822A1" w:rsidRDefault="00FA37B6" w:rsidP="00574CFD">
            <w:pPr>
              <w:pStyle w:val="NormalWeb"/>
              <w:spacing w:after="0"/>
              <w:ind w:left="34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.  including immunoglobulin E-like antibodies </w:t>
            </w:r>
          </w:p>
          <w:p w:rsidR="00FA37B6" w:rsidRPr="002822A1" w:rsidRDefault="00FA37B6" w:rsidP="00574CFD">
            <w:pPr>
              <w:pStyle w:val="NormalWeb"/>
              <w:spacing w:after="0"/>
              <w:ind w:left="34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ii.  vasoactive amines and peptides </w:t>
            </w:r>
          </w:p>
          <w:p w:rsidR="00FA37B6" w:rsidRPr="002822A1" w:rsidRDefault="00FA37B6" w:rsidP="00574CFD">
            <w:pPr>
              <w:pStyle w:val="NormalWeb"/>
              <w:spacing w:after="0"/>
              <w:ind w:left="34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iii. immunoglobulin M.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7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the effects of fever as a pathophysiological factor in the course</w:t>
            </w:r>
          </w:p>
          <w:p w:rsidR="00FA37B6" w:rsidRPr="002822A1" w:rsidRDefault="00FA37B6" w:rsidP="00574CFD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Molecular and cellular biology, genetics and (Promising breakthroughs in the development of vaccines against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diseasecausing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parasites) 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State-of-the-art genomic sciences, and next-generation DNA sequencing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molecular biology of surface antigens and their roles in parasite invasion and survival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 function and transcription underlying antigenic variation and diversity in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kinetoplastids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and apicomplexans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vectors, and parasite–vector interactions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chemotherapeutic targets and drug design, including insecticide resistance in key vectors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8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introduction to molecular epidemiology </w:t>
            </w:r>
          </w:p>
          <w:p w:rsidR="00FA37B6" w:rsidRPr="002822A1" w:rsidRDefault="00FA37B6" w:rsidP="00574CFD">
            <w:pPr>
              <w:pStyle w:val="NormalWeb"/>
              <w:spacing w:after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Taxonomy and phylogenetic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79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Resolution of phylogenetic frameworks and diagnostic markers differs across listed taxa.</w:t>
            </w:r>
          </w:p>
          <w:p w:rsidR="00FA37B6" w:rsidRPr="002822A1" w:rsidRDefault="00FA37B6" w:rsidP="00D6124C">
            <w:pPr>
              <w:pStyle w:val="NormalWeb"/>
              <w:spacing w:after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Mycology</w:t>
            </w:r>
          </w:p>
          <w:p w:rsidR="00FA37B6" w:rsidRPr="002822A1" w:rsidRDefault="00FA37B6" w:rsidP="00D6124C">
            <w:pPr>
              <w:pStyle w:val="NormalWeb"/>
              <w:spacing w:after="0"/>
              <w:ind w:left="5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Medical Mycology</w:t>
            </w:r>
          </w:p>
          <w:p w:rsidR="00FA37B6" w:rsidRPr="002822A1" w:rsidRDefault="00FA37B6" w:rsidP="00D6124C">
            <w:pPr>
              <w:pStyle w:val="NormalWeb"/>
              <w:spacing w:after="0"/>
              <w:ind w:left="5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Veterinary and environmental Mycology </w:t>
            </w:r>
          </w:p>
          <w:p w:rsidR="00FA37B6" w:rsidRPr="002822A1" w:rsidRDefault="00FA37B6" w:rsidP="00D6124C">
            <w:pPr>
              <w:pStyle w:val="NormalWeb"/>
              <w:spacing w:after="0"/>
              <w:ind w:left="6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Industrial Mycology</w:t>
            </w:r>
          </w:p>
          <w:p w:rsidR="00FA37B6" w:rsidRPr="002822A1" w:rsidRDefault="00FA37B6" w:rsidP="00F50694">
            <w:pPr>
              <w:pStyle w:val="NormalWeb"/>
              <w:spacing w:after="0"/>
              <w:ind w:left="61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Plant Mycology </w:t>
            </w:r>
          </w:p>
          <w:p w:rsidR="00FA37B6" w:rsidRPr="002822A1" w:rsidRDefault="00FA37B6" w:rsidP="00F50694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Medical Mycology Fields of research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Phylogeny of fungal pathogens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Epidemiology and public health mycology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New approaches in the diagnosis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Treatment of mycoses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Antifungal susceptibilities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Taxonomy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Immunology of fungal infections </w:t>
            </w:r>
          </w:p>
          <w:p w:rsidR="00FA37B6" w:rsidRPr="002822A1" w:rsidRDefault="00FA37B6" w:rsidP="00F50694">
            <w:pPr>
              <w:pStyle w:val="NormalWeb"/>
              <w:numPr>
                <w:ilvl w:val="7"/>
                <w:numId w:val="80"/>
              </w:numPr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pathogenesis and virulence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E2020B9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D6344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3C19F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0CAA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F289C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00986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BAFD9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961F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FE1B0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E2020B9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D6344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3C19F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0CAA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F289C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00986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BAFD9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961F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FE1B0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E2020B9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D6344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3C19F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0CAA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F289C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00986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BAFD9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961F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FE1B0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E2020B9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D6344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3C19F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0CAA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F289C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00986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BAFD9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961F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FE1B0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02D1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A37B6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E0F9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644E-46CA-47B0-90DA-5578DA8B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2021-09-19T04:51:00Z</dcterms:modified>
</cp:coreProperties>
</file>