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2B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241237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41237">
              <w:rPr>
                <w:rFonts w:cs="B Titr"/>
                <w:rtl/>
              </w:rPr>
              <w:t>س</w:t>
            </w:r>
            <w:r w:rsidRPr="00241237">
              <w:rPr>
                <w:rFonts w:cs="B Titr" w:hint="cs"/>
                <w:rtl/>
              </w:rPr>
              <w:t>ی</w:t>
            </w:r>
            <w:r w:rsidRPr="00241237">
              <w:rPr>
                <w:rFonts w:cs="B Titr" w:hint="eastAsia"/>
                <w:rtl/>
              </w:rPr>
              <w:t>ستم</w:t>
            </w:r>
            <w:r w:rsidRPr="00241237">
              <w:rPr>
                <w:rFonts w:cs="B Titr"/>
                <w:rtl/>
              </w:rPr>
              <w:t xml:space="preserve"> ثبت اطلاعات ب</w:t>
            </w:r>
            <w:r w:rsidRPr="00241237">
              <w:rPr>
                <w:rFonts w:cs="B Titr" w:hint="cs"/>
                <w:rtl/>
              </w:rPr>
              <w:t>ی</w:t>
            </w:r>
            <w:r w:rsidRPr="00241237">
              <w:rPr>
                <w:rFonts w:cs="B Titr" w:hint="eastAsia"/>
                <w:rtl/>
              </w:rPr>
              <w:t>ماران</w:t>
            </w:r>
            <w:r w:rsidRPr="00241237">
              <w:rPr>
                <w:rFonts w:cs="B Titr"/>
                <w:rtl/>
              </w:rPr>
              <w:t xml:space="preserve"> تروفوبلاست</w:t>
            </w:r>
            <w:r w:rsidRPr="00241237">
              <w:rPr>
                <w:rFonts w:cs="B Titr" w:hint="cs"/>
                <w:rtl/>
              </w:rPr>
              <w:t>ی</w:t>
            </w:r>
            <w:r w:rsidRPr="00241237">
              <w:rPr>
                <w:rFonts w:cs="B Titr" w:hint="eastAsia"/>
                <w:rtl/>
              </w:rPr>
              <w:t>ک</w:t>
            </w:r>
            <w:r w:rsidRPr="00241237">
              <w:rPr>
                <w:rFonts w:cs="B Titr"/>
                <w:rtl/>
              </w:rPr>
              <w:t xml:space="preserve"> حاملگ</w:t>
            </w:r>
            <w:r w:rsidRPr="00241237">
              <w:rPr>
                <w:rFonts w:cs="B Titr" w:hint="cs"/>
                <w:rtl/>
              </w:rPr>
              <w:t>ی</w:t>
            </w:r>
            <w:r w:rsidRPr="00241237">
              <w:rPr>
                <w:rFonts w:cs="B Titr"/>
                <w:rtl/>
              </w:rPr>
              <w:t xml:space="preserve"> در مرکز انکولوژ</w:t>
            </w:r>
            <w:r w:rsidRPr="00241237">
              <w:rPr>
                <w:rFonts w:cs="B Titr" w:hint="cs"/>
                <w:rtl/>
              </w:rPr>
              <w:t>ی</w:t>
            </w:r>
            <w:r w:rsidRPr="00241237">
              <w:rPr>
                <w:rFonts w:cs="B Titr"/>
                <w:rtl/>
              </w:rPr>
              <w:t xml:space="preserve"> زنان دانشگاه علوم پزشک</w:t>
            </w:r>
            <w:r w:rsidRPr="00241237">
              <w:rPr>
                <w:rFonts w:cs="B Titr" w:hint="cs"/>
                <w:rtl/>
              </w:rPr>
              <w:t>ی</w:t>
            </w:r>
            <w:r w:rsidRPr="00241237">
              <w:rPr>
                <w:rFonts w:cs="B Titr"/>
                <w:rtl/>
              </w:rPr>
              <w:t xml:space="preserve"> مشهد(فاز2)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41237" w:rsidRDefault="00241237" w:rsidP="0024123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برنامه ابزار بس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ارزش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درمان، کنترل سرطان و پژوهش در خصوص ا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محسوب م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و داده ها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کامل و دق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گردآور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که م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توان از آنها در افزا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تول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مقاله و تسر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 ها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مربوطه استفاده کرد . همچن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برنامه سبب دسترس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آسا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نتر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و کل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 به اطلاعات ب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گردد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2D6E6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241237" w:rsidP="00241237">
            <w:pPr>
              <w:bidi/>
              <w:jc w:val="both"/>
              <w:rPr>
                <w:rFonts w:cs="B Nazanin"/>
                <w:rtl/>
              </w:rPr>
            </w:pP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</w:rPr>
              <w:t>gestational trophoblastic disease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تازه تشخ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شده، که برا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اول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 به مراکز ژن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کولوژ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انکولوژ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علوم پزشک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مراجعه م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نما</w:t>
            </w:r>
            <w:r w:rsidRPr="0024123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4123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24123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0454B5" w:rsidRPr="000454B5" w:rsidRDefault="000454B5" w:rsidP="000454B5">
            <w:pPr>
              <w:bidi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روش 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</w:rPr>
              <w:t>hospital base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 است و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وارد طرح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شوند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با تشخ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کانسر به 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 داشته و جهت پ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همان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مراحعه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کنند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.</w:t>
            </w:r>
          </w:p>
          <w:p w:rsidR="000454B5" w:rsidRPr="000454B5" w:rsidRDefault="000454B5" w:rsidP="000454B5">
            <w:pPr>
              <w:bidi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درصورت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موافقت همکاران در مطب ها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مرتبط ن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ل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خواهد داشت.</w:t>
            </w:r>
          </w:p>
          <w:p w:rsidR="0021707E" w:rsidRPr="000454B5" w:rsidRDefault="000454B5" w:rsidP="000454B5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پ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طبق نظر پزشک متخصص در فاصله ها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مقرر که در کارت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درج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شود، انجام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صورت عدم مراجعه  با تماس تلفن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 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انجام م</w:t>
            </w:r>
            <w:r w:rsidRPr="000454B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454B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0D67E4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2B5331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 برنا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4D32E6" w:rsidRDefault="003B26D8" w:rsidP="004A3FA8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4A3FA8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طرح دارای یک ناظر داخلی در زمینه ثبت می باشد، ناظر داخلی طرح هر ماه داده های ثبت شده را چک می نماید و مشکلات ایجاد شده را به ثبت کنندگان انتقال می دهد. </w:t>
      </w:r>
    </w:p>
    <w:p w:rsidR="004A3FA8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به صورت رندوم بررسی شده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با بیماران تماس گرفته می شود یا از طریق بررسی مجدد پرونده ها تکمیل می گردد.</w:t>
      </w:r>
    </w:p>
    <w:p w:rsidR="004A3FA8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تا کنون یک بار کنترل کیفی توسط ناظر دانشگاه برای این طرح انجام شده که گزارش آن به صورت زیر است. </w:t>
      </w:r>
    </w:p>
    <w:p w:rsidR="004A3FA8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4A3FA8" w:rsidTr="00455D60">
        <w:tc>
          <w:tcPr>
            <w:tcW w:w="1877" w:type="dxa"/>
            <w:vAlign w:val="center"/>
          </w:tcPr>
          <w:p w:rsidR="004A3FA8" w:rsidRPr="00903C5D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4A3FA8" w:rsidRPr="007D544A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4A3FA8" w:rsidRPr="007D544A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4A3FA8" w:rsidRPr="00903C5D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4A3FA8" w:rsidRPr="00903C5D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4A3FA8" w:rsidRPr="00903C5D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4A3FA8" w:rsidRPr="007D544A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4A3FA8" w:rsidTr="00455D60">
        <w:tc>
          <w:tcPr>
            <w:tcW w:w="1877" w:type="dxa"/>
            <w:vAlign w:val="center"/>
          </w:tcPr>
          <w:p w:rsidR="004A3FA8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4A3FA8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4A3FA8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4A3FA8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4A3FA8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با توجه به استفاده از فرم های استاندارد، در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>داده‌ها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واردشده تناسب و سازگار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لازم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وجود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دارد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تا مقا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سه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آن‌ها با د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گر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منابع در طول زمان فراهم شود</w:t>
            </w:r>
          </w:p>
        </w:tc>
        <w:tc>
          <w:tcPr>
            <w:tcW w:w="1965" w:type="dxa"/>
            <w:vAlign w:val="center"/>
          </w:tcPr>
          <w:p w:rsidR="004A3FA8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3 ماه است</w:t>
            </w:r>
          </w:p>
        </w:tc>
        <w:tc>
          <w:tcPr>
            <w:tcW w:w="1711" w:type="dxa"/>
            <w:vAlign w:val="center"/>
          </w:tcPr>
          <w:p w:rsidR="004A3FA8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بین 10-15 درصد</w:t>
            </w:r>
          </w:p>
        </w:tc>
      </w:tr>
    </w:tbl>
    <w:p w:rsidR="004A3FA8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4A3FA8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4A3FA8" w:rsidTr="00455D60">
        <w:tc>
          <w:tcPr>
            <w:tcW w:w="2616" w:type="dxa"/>
          </w:tcPr>
          <w:p w:rsidR="004A3FA8" w:rsidRDefault="004A3FA8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4A3FA8" w:rsidRDefault="004A3FA8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4A3FA8" w:rsidRDefault="004A3FA8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4A3FA8" w:rsidRDefault="004A3FA8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4A3FA8" w:rsidRPr="007D544A" w:rsidRDefault="004A3FA8" w:rsidP="00455D60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4A3FA8" w:rsidTr="00455D60">
        <w:tc>
          <w:tcPr>
            <w:tcW w:w="2616" w:type="dxa"/>
            <w:vAlign w:val="center"/>
          </w:tcPr>
          <w:p w:rsidR="004A3FA8" w:rsidRPr="007D544A" w:rsidRDefault="004A3FA8" w:rsidP="00455D60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4A3FA8" w:rsidRDefault="004A3FA8" w:rsidP="00455D60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4A3FA8" w:rsidRDefault="004A3FA8" w:rsidP="00455D60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4A3FA8" w:rsidRDefault="004A3FA8" w:rsidP="00455D60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4A3FA8" w:rsidRDefault="004A3FA8" w:rsidP="00455D60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4A3FA8" w:rsidRPr="007D544A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lastRenderedPageBreak/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4A3FA8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4A3FA8" w:rsidRPr="009265F1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4A3FA8" w:rsidRPr="009265F1" w:rsidRDefault="004A3FA8" w:rsidP="004A3FA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F66DBD" w:rsidTr="001365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66DBD" w:rsidRPr="00BC0D08" w:rsidRDefault="00F66DBD" w:rsidP="00F66DB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66DBD">
              <w:rPr>
                <w:color w:val="000000"/>
                <w:sz w:val="20"/>
                <w:szCs w:val="20"/>
              </w:rPr>
              <w:t>B-hCG and H-hCG levels in patients with gestational trophoblastic neoplasia</w:t>
            </w:r>
          </w:p>
        </w:tc>
        <w:tc>
          <w:tcPr>
            <w:tcW w:w="870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972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F66DBD">
              <w:rPr>
                <w:sz w:val="20"/>
                <w:szCs w:val="20"/>
              </w:rPr>
              <w:t>Current Gynecologic Oncology</w:t>
            </w:r>
          </w:p>
        </w:tc>
        <w:tc>
          <w:tcPr>
            <w:tcW w:w="1244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6DBD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F66DBD" w:rsidRPr="00BC0D08" w:rsidRDefault="00F66DBD" w:rsidP="00F66D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F66DBD" w:rsidTr="00136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66DBD" w:rsidRPr="00BC0D08" w:rsidRDefault="00F66DBD" w:rsidP="00F66DB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F66DBD">
              <w:rPr>
                <w:color w:val="000000"/>
                <w:sz w:val="20"/>
                <w:szCs w:val="20"/>
              </w:rPr>
              <w:t>Pregnancy Before Completion of Follow-Up in Gestational Trophoblastic Neoplasia: a Case Report</w:t>
            </w:r>
          </w:p>
        </w:tc>
        <w:tc>
          <w:tcPr>
            <w:tcW w:w="870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972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F66DBD">
              <w:rPr>
                <w:sz w:val="20"/>
                <w:szCs w:val="20"/>
              </w:rPr>
              <w:t>Womens Health Bulletin</w:t>
            </w:r>
          </w:p>
        </w:tc>
        <w:tc>
          <w:tcPr>
            <w:tcW w:w="1244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6DBD">
              <w:rPr>
                <w:sz w:val="20"/>
                <w:szCs w:val="20"/>
              </w:rPr>
              <w:t>ISC</w:t>
            </w:r>
          </w:p>
        </w:tc>
        <w:tc>
          <w:tcPr>
            <w:tcW w:w="718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8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F66DBD" w:rsidRPr="00BC0D08" w:rsidRDefault="00F66DBD" w:rsidP="00F66D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F66DBD" w:rsidTr="001365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66DBD" w:rsidRPr="00BC0D08" w:rsidRDefault="00F66DBD" w:rsidP="00F66DB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F66DBD">
              <w:rPr>
                <w:color w:val="000000"/>
                <w:sz w:val="20"/>
                <w:szCs w:val="20"/>
              </w:rPr>
              <w:t>A case report of a twin pregnancy with a complete hydatidiform mole following the transfer of two frozen</w:t>
            </w:r>
          </w:p>
        </w:tc>
        <w:tc>
          <w:tcPr>
            <w:tcW w:w="870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972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F66DBD">
              <w:rPr>
                <w:sz w:val="20"/>
                <w:szCs w:val="20"/>
              </w:rPr>
              <w:t>Iranian Journal of Obstetrics Gynecology and Infertility</w:t>
            </w:r>
          </w:p>
        </w:tc>
        <w:tc>
          <w:tcPr>
            <w:tcW w:w="1244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6DBD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  <w:vAlign w:val="center"/>
          </w:tcPr>
          <w:p w:rsidR="00F66DBD" w:rsidRPr="00F66DBD" w:rsidRDefault="00F66DBD" w:rsidP="00F66D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F66DBD" w:rsidRPr="00BC0D08" w:rsidRDefault="00F66DBD" w:rsidP="00F66D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F66DBD" w:rsidTr="00136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F66DBD" w:rsidRPr="00BC0D08" w:rsidRDefault="00F66DBD" w:rsidP="00F66DB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08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F66DBD">
              <w:rPr>
                <w:color w:val="000000"/>
                <w:sz w:val="20"/>
                <w:szCs w:val="20"/>
              </w:rPr>
              <w:t>Assessment of Programmed cell death protein 1 and Programmed cell death ligand 1 Expression in Gestational Trophoblastic Neoplasia: Implications for Anti-PD1 Drug Therapy</w:t>
            </w:r>
          </w:p>
        </w:tc>
        <w:tc>
          <w:tcPr>
            <w:tcW w:w="870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72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F66DBD">
              <w:rPr>
                <w:sz w:val="20"/>
                <w:szCs w:val="20"/>
              </w:rPr>
              <w:t>Journal of Obstetrics, Gynecology and Cancer Research</w:t>
            </w:r>
          </w:p>
        </w:tc>
        <w:tc>
          <w:tcPr>
            <w:tcW w:w="1244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66DBD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8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F66DBD" w:rsidRPr="00F66DBD" w:rsidRDefault="00F66DBD" w:rsidP="00F66D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F66DBD">
              <w:rPr>
                <w:rFonts w:ascii="Calibri" w:hAnsi="Calibri" w:cs="B Badr"/>
                <w:color w:val="000000"/>
                <w:sz w:val="20"/>
                <w:szCs w:val="20"/>
              </w:rPr>
              <w:t>4032672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bookmarkEnd w:id="0"/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4A3FA8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FA8" w:rsidRPr="0099304B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نتایج درمان با کورتاژ دوم با هیسترسکوپی در بیماران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GTN</w:t>
            </w:r>
          </w:p>
        </w:tc>
        <w:tc>
          <w:tcPr>
            <w:tcW w:w="2160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رزیدنتی</w:t>
            </w:r>
          </w:p>
        </w:tc>
        <w:tc>
          <w:tcPr>
            <w:tcW w:w="1440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4012370</w:t>
            </w:r>
          </w:p>
        </w:tc>
        <w:tc>
          <w:tcPr>
            <w:tcW w:w="1886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4A3FA8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FA8" w:rsidRPr="0099304B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منحنی افت سطح سرمی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β-hCG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بیماران با تشخیص حاملگی مولار پس از تخلیه محصولات حاملگی و ارتباط آن با نئوپلازی تروفوبلاستیک</w:t>
            </w:r>
          </w:p>
        </w:tc>
        <w:tc>
          <w:tcPr>
            <w:tcW w:w="2160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4021628</w:t>
            </w:r>
          </w:p>
        </w:tc>
        <w:tc>
          <w:tcPr>
            <w:tcW w:w="1886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4A3FA8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FA8" w:rsidRPr="0099304B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ارزیابی ایمونوهیستوکمیکال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Programmed cell death receptor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(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PD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1) و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Programmed cell death ligand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(PDL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)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بیماران مبتلا به تروفوبلاستیک حاملگی</w:t>
            </w:r>
          </w:p>
        </w:tc>
        <w:tc>
          <w:tcPr>
            <w:tcW w:w="2160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4A3FA8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FA8" w:rsidRPr="0099304B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ارزیابی تظاهرات کلینیکی و میزان بروز نئوپلازی تروفوبلاستیک حاملگی در بیماران با مول پارشیل مراجعه کننده به بیمارستان قائم طی سال های 1391-1400</w:t>
            </w:r>
          </w:p>
        </w:tc>
        <w:tc>
          <w:tcPr>
            <w:tcW w:w="2160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4A3FA8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FA8" w:rsidRPr="0099304B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نتایج استفاده از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hCG H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hCG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بیماران با حاملگی تروفوبلاستیک</w:t>
            </w:r>
          </w:p>
        </w:tc>
        <w:tc>
          <w:tcPr>
            <w:tcW w:w="2160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4A3FA8" w:rsidRPr="0099304B" w:rsidTr="004A6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FA8" w:rsidRPr="0099304B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567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اپیدمیولوژی بیماریهای تروفوبلاستیک بارداری در دانشگاه علوم پزشکی مشهد</w:t>
            </w:r>
          </w:p>
        </w:tc>
        <w:tc>
          <w:tcPr>
            <w:tcW w:w="2160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دکترای حرفه ای</w:t>
            </w:r>
          </w:p>
        </w:tc>
        <w:tc>
          <w:tcPr>
            <w:tcW w:w="1440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4011432</w:t>
            </w:r>
          </w:p>
        </w:tc>
        <w:tc>
          <w:tcPr>
            <w:tcW w:w="1886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4A3FA8" w:rsidRPr="0099304B" w:rsidTr="00BD3B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FA8" w:rsidRPr="0099304B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7</w:t>
            </w:r>
          </w:p>
        </w:tc>
        <w:tc>
          <w:tcPr>
            <w:tcW w:w="4567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سیستم ثبت اطلاعات بیماران تروفوبلاستیک حاملگی در مرکز انکولوژی زنان دانشگاه علوم پزشکی مشهد(فاز2)</w:t>
            </w:r>
          </w:p>
        </w:tc>
        <w:tc>
          <w:tcPr>
            <w:tcW w:w="2160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4042496</w:t>
            </w:r>
          </w:p>
        </w:tc>
        <w:tc>
          <w:tcPr>
            <w:tcW w:w="1886" w:type="dxa"/>
            <w:vAlign w:val="bottom"/>
          </w:tcPr>
          <w:p w:rsidR="004A3FA8" w:rsidRPr="004A3FA8" w:rsidRDefault="004A3FA8" w:rsidP="004A3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/>
                <w:color w:val="000000"/>
                <w:sz w:val="20"/>
                <w:szCs w:val="20"/>
              </w:rPr>
              <w:t>1404/11/29</w:t>
            </w:r>
          </w:p>
        </w:tc>
      </w:tr>
      <w:tr w:rsidR="004A3FA8" w:rsidRPr="0099304B" w:rsidTr="004A6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FA8" w:rsidRPr="0099304B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567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توسعه مدل مبتنی بر یادگیری ماشین تفسیر پذیر برای پیش بینی بدخیمی در بیماران تروفوبلاستیک حاملگی</w:t>
            </w:r>
          </w:p>
        </w:tc>
        <w:tc>
          <w:tcPr>
            <w:tcW w:w="2160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A3FA8">
              <w:rPr>
                <w:rFonts w:ascii="Calibri" w:hAnsi="Calibri" w:cs="B Nazanin" w:hint="cs"/>
                <w:color w:val="000000"/>
                <w:sz w:val="20"/>
                <w:szCs w:val="20"/>
              </w:rPr>
              <w:t>4040172</w:t>
            </w:r>
          </w:p>
        </w:tc>
        <w:tc>
          <w:tcPr>
            <w:tcW w:w="1886" w:type="dxa"/>
            <w:vAlign w:val="center"/>
          </w:tcPr>
          <w:p w:rsidR="004A3FA8" w:rsidRPr="004A3FA8" w:rsidRDefault="004A3FA8" w:rsidP="004A3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12/06/1404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4A3FA8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4A3FA8" w:rsidRPr="00DC1618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4A3FA8">
              <w:rPr>
                <w:rFonts w:ascii="Calibri" w:hAnsi="Calibri" w:cs="B Nazanin" w:hint="cs"/>
                <w:color w:val="000000"/>
                <w:rtl/>
              </w:rPr>
              <w:t xml:space="preserve">بررسی نتایج درمان با کورتاژ دوم با هیسترسکوپی در بیماران </w:t>
            </w:r>
            <w:r w:rsidRPr="004A3FA8">
              <w:rPr>
                <w:rFonts w:ascii="Calibri" w:hAnsi="Calibri" w:cs="B Nazanin" w:hint="cs"/>
                <w:color w:val="000000"/>
              </w:rPr>
              <w:t>GTN</w:t>
            </w:r>
          </w:p>
        </w:tc>
        <w:tc>
          <w:tcPr>
            <w:tcW w:w="5576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rtl/>
              </w:rPr>
              <w:t>پایان نامه رزیدنتی</w:t>
            </w:r>
          </w:p>
        </w:tc>
      </w:tr>
      <w:tr w:rsidR="004A3FA8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4A3FA8" w:rsidRPr="00DC1618" w:rsidRDefault="004A3FA8" w:rsidP="004A3FA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rtl/>
              </w:rPr>
              <w:t>اپیدمیولوژی بیماریهای تروفوبلاستیک بارداری در دانشگاه علوم پزشکی مشهد</w:t>
            </w:r>
          </w:p>
        </w:tc>
        <w:tc>
          <w:tcPr>
            <w:tcW w:w="5576" w:type="dxa"/>
            <w:vAlign w:val="center"/>
          </w:tcPr>
          <w:p w:rsidR="004A3FA8" w:rsidRPr="004A3FA8" w:rsidRDefault="004A3FA8" w:rsidP="004A3F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4A3FA8">
              <w:rPr>
                <w:rFonts w:ascii="Calibri" w:hAnsi="Calibri" w:cs="B Nazanin" w:hint="cs"/>
                <w:color w:val="000000"/>
                <w:rtl/>
              </w:rPr>
              <w:t>پایان نامه دکترای حرفه ای</w:t>
            </w: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C08" w:rsidRDefault="00264C08" w:rsidP="003B26D8">
      <w:pPr>
        <w:spacing w:after="0" w:line="240" w:lineRule="auto"/>
      </w:pPr>
      <w:r>
        <w:separator/>
      </w:r>
    </w:p>
  </w:endnote>
  <w:endnote w:type="continuationSeparator" w:id="0">
    <w:p w:rsidR="00264C08" w:rsidRDefault="00264C08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C08" w:rsidRDefault="00264C08" w:rsidP="003B26D8">
      <w:pPr>
        <w:spacing w:after="0" w:line="240" w:lineRule="auto"/>
      </w:pPr>
      <w:r>
        <w:separator/>
      </w:r>
    </w:p>
  </w:footnote>
  <w:footnote w:type="continuationSeparator" w:id="0">
    <w:p w:rsidR="00264C08" w:rsidRDefault="00264C08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41237"/>
    <w:rsid w:val="00264C08"/>
    <w:rsid w:val="002B5331"/>
    <w:rsid w:val="002B6C55"/>
    <w:rsid w:val="002B703A"/>
    <w:rsid w:val="002D6E6C"/>
    <w:rsid w:val="003267FC"/>
    <w:rsid w:val="00377558"/>
    <w:rsid w:val="003B26D8"/>
    <w:rsid w:val="003D7B52"/>
    <w:rsid w:val="004A3FA8"/>
    <w:rsid w:val="004D32E6"/>
    <w:rsid w:val="004E3D8F"/>
    <w:rsid w:val="004E3F62"/>
    <w:rsid w:val="004E5C70"/>
    <w:rsid w:val="004F7358"/>
    <w:rsid w:val="00542C8A"/>
    <w:rsid w:val="0058477F"/>
    <w:rsid w:val="005B5B28"/>
    <w:rsid w:val="00603B14"/>
    <w:rsid w:val="00661AFD"/>
    <w:rsid w:val="00683ED2"/>
    <w:rsid w:val="00695DB1"/>
    <w:rsid w:val="006C02AE"/>
    <w:rsid w:val="006D2333"/>
    <w:rsid w:val="00705A78"/>
    <w:rsid w:val="007178D4"/>
    <w:rsid w:val="00723CB8"/>
    <w:rsid w:val="00761414"/>
    <w:rsid w:val="007A50B8"/>
    <w:rsid w:val="007C70C9"/>
    <w:rsid w:val="00804766"/>
    <w:rsid w:val="00834F58"/>
    <w:rsid w:val="00857865"/>
    <w:rsid w:val="008C2D48"/>
    <w:rsid w:val="00905D19"/>
    <w:rsid w:val="00915E37"/>
    <w:rsid w:val="0099304B"/>
    <w:rsid w:val="009A116D"/>
    <w:rsid w:val="00AC2373"/>
    <w:rsid w:val="00B0040C"/>
    <w:rsid w:val="00B23E71"/>
    <w:rsid w:val="00B61CBE"/>
    <w:rsid w:val="00B6494D"/>
    <w:rsid w:val="00B808AA"/>
    <w:rsid w:val="00BA0533"/>
    <w:rsid w:val="00BC0D08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66D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3EC63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23B47-0AB9-4438-B0FD-148F6F4C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39</cp:revision>
  <dcterms:created xsi:type="dcterms:W3CDTF">2026-03-08T08:52:00Z</dcterms:created>
  <dcterms:modified xsi:type="dcterms:W3CDTF">2026-03-28T09:59:00Z</dcterms:modified>
</cp:coreProperties>
</file>