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563B66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63B66">
              <w:rPr>
                <w:rFonts w:cs="B Titr"/>
                <w:rtl/>
              </w:rPr>
              <w:t>طراح</w:t>
            </w:r>
            <w:r w:rsidRPr="00563B66">
              <w:rPr>
                <w:rFonts w:cs="B Titr" w:hint="cs"/>
                <w:rtl/>
              </w:rPr>
              <w:t>ی</w:t>
            </w:r>
            <w:r w:rsidRPr="00563B66">
              <w:rPr>
                <w:rFonts w:cs="B Titr"/>
                <w:rtl/>
              </w:rPr>
              <w:t xml:space="preserve"> و راه انداز</w:t>
            </w:r>
            <w:r w:rsidRPr="00563B66">
              <w:rPr>
                <w:rFonts w:cs="B Titr" w:hint="cs"/>
                <w:rtl/>
              </w:rPr>
              <w:t>ی</w:t>
            </w:r>
            <w:r w:rsidRPr="00563B66">
              <w:rPr>
                <w:rFonts w:cs="B Titr"/>
                <w:rtl/>
              </w:rPr>
              <w:t xml:space="preserve"> س</w:t>
            </w:r>
            <w:r w:rsidRPr="00563B66">
              <w:rPr>
                <w:rFonts w:cs="B Titr" w:hint="cs"/>
                <w:rtl/>
              </w:rPr>
              <w:t>ی</w:t>
            </w:r>
            <w:r w:rsidRPr="00563B66">
              <w:rPr>
                <w:rFonts w:cs="B Titr" w:hint="eastAsia"/>
                <w:rtl/>
              </w:rPr>
              <w:t>ستم</w:t>
            </w:r>
            <w:r w:rsidRPr="00563B66">
              <w:rPr>
                <w:rFonts w:cs="B Titr"/>
                <w:rtl/>
              </w:rPr>
              <w:t xml:space="preserve"> ثبت ب</w:t>
            </w:r>
            <w:r w:rsidRPr="00563B66">
              <w:rPr>
                <w:rFonts w:cs="B Titr" w:hint="cs"/>
                <w:rtl/>
              </w:rPr>
              <w:t>ی</w:t>
            </w:r>
            <w:r w:rsidRPr="00563B66">
              <w:rPr>
                <w:rFonts w:cs="B Titr" w:hint="eastAsia"/>
                <w:rtl/>
              </w:rPr>
              <w:t>ماران</w:t>
            </w:r>
            <w:r w:rsidRPr="00563B66">
              <w:rPr>
                <w:rFonts w:cs="B Titr"/>
                <w:rtl/>
              </w:rPr>
              <w:t xml:space="preserve"> که</w:t>
            </w:r>
            <w:r w:rsidRPr="00563B66">
              <w:rPr>
                <w:rFonts w:cs="B Titr" w:hint="cs"/>
                <w:rtl/>
              </w:rPr>
              <w:t>ی</w:t>
            </w:r>
            <w:r w:rsidRPr="00563B66">
              <w:rPr>
                <w:rFonts w:cs="B Titr" w:hint="eastAsia"/>
                <w:rtl/>
              </w:rPr>
              <w:t>ر</w:t>
            </w:r>
            <w:r w:rsidRPr="00563B66">
              <w:rPr>
                <w:rFonts w:cs="B Titr"/>
                <w:rtl/>
              </w:rPr>
              <w:t xml:space="preserve"> مزمن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DB1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563B66" w:rsidRPr="00563B66" w:rsidRDefault="00563B66" w:rsidP="00563B66">
            <w:pPr>
              <w:pStyle w:val="ListParagraph"/>
              <w:numPr>
                <w:ilvl w:val="0"/>
                <w:numId w:val="6"/>
              </w:numPr>
              <w:bidi/>
              <w:ind w:left="43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دموگراف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مزمن درمرکز الرژ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و در مقا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مراکز در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رکشورها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چگونه است؟</w:t>
            </w:r>
          </w:p>
          <w:p w:rsidR="00563B66" w:rsidRPr="00563B66" w:rsidRDefault="00563B66" w:rsidP="00563B66">
            <w:pPr>
              <w:pStyle w:val="ListParagraph"/>
              <w:numPr>
                <w:ilvl w:val="0"/>
                <w:numId w:val="6"/>
              </w:numPr>
              <w:bidi/>
              <w:ind w:left="43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اطلاعات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کل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،تر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گرها،بار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درمرکز الرژ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در در 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و در مقا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مراکز در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رکشورها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چگونه است؟</w:t>
            </w:r>
          </w:p>
          <w:p w:rsidR="00563B66" w:rsidRPr="00563B66" w:rsidRDefault="00563B66" w:rsidP="00563B66">
            <w:pPr>
              <w:pStyle w:val="ListParagraph"/>
              <w:numPr>
                <w:ilvl w:val="0"/>
                <w:numId w:val="6"/>
              </w:numPr>
              <w:bidi/>
              <w:ind w:left="43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فرمها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همزمان که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رمزمن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درمرکز الرژ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و در مقا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مراکز در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رکشورها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چگونه است ؟</w:t>
            </w:r>
          </w:p>
          <w:p w:rsidR="00563B66" w:rsidRPr="00563B66" w:rsidRDefault="00563B66" w:rsidP="00563B66">
            <w:pPr>
              <w:pStyle w:val="ListParagraph"/>
              <w:numPr>
                <w:ilvl w:val="0"/>
                <w:numId w:val="6"/>
              </w:numPr>
              <w:bidi/>
              <w:ind w:left="43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همراه در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مزمن  درمرکز الرژ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و در مقا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مراکز در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رکشورها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چگونه است؟</w:t>
            </w:r>
          </w:p>
          <w:p w:rsidR="00563B66" w:rsidRPr="00563B66" w:rsidRDefault="00563B66" w:rsidP="00563B66">
            <w:pPr>
              <w:pStyle w:val="ListParagraph"/>
              <w:numPr>
                <w:ilvl w:val="0"/>
                <w:numId w:val="6"/>
              </w:numPr>
              <w:bidi/>
              <w:ind w:left="43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سابقه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خانوادگ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مزمن درمرکز الرژ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و در مقا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مراکز در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رکشورها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چگونه است؟</w:t>
            </w:r>
          </w:p>
          <w:p w:rsidR="00563B66" w:rsidRPr="00563B66" w:rsidRDefault="00563B66" w:rsidP="00563B66">
            <w:pPr>
              <w:pStyle w:val="ListParagraph"/>
              <w:numPr>
                <w:ilvl w:val="0"/>
                <w:numId w:val="6"/>
              </w:numPr>
              <w:bidi/>
              <w:ind w:left="435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تشخ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مزمن درمرکز الرژ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</w:t>
            </w:r>
            <w:r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و در مقا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مراکز در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رکشورها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چگونه است؟</w:t>
            </w:r>
          </w:p>
          <w:p w:rsidR="00AE00B6" w:rsidRPr="00563B66" w:rsidRDefault="00563B66" w:rsidP="00563B66">
            <w:pPr>
              <w:pStyle w:val="ListParagraph"/>
              <w:numPr>
                <w:ilvl w:val="0"/>
                <w:numId w:val="6"/>
              </w:numPr>
              <w:bidi/>
              <w:ind w:left="435"/>
              <w:rPr>
                <w:rFonts w:cs="B Nazanin"/>
                <w:rtl/>
              </w:rPr>
            </w:pP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درمانها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مزمن درمرکز الرژ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و در مقا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مراکز در سا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رکشورها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چگونه است</w:t>
            </w:r>
            <w:r w:rsidRPr="00563B66">
              <w:rPr>
                <w:rFonts w:ascii="Calibri" w:hAnsi="Calibri" w:cs="B Nazanin"/>
                <w:color w:val="000000"/>
                <w:rtl/>
              </w:rPr>
              <w:t>؟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563B66" w:rsidP="00DB1597">
            <w:pPr>
              <w:bidi/>
              <w:jc w:val="both"/>
              <w:rPr>
                <w:rFonts w:cs="B Nazanin"/>
                <w:rtl/>
              </w:rPr>
            </w:pPr>
            <w:r w:rsidRPr="00563B66">
              <w:rPr>
                <w:rFonts w:cs="B Nazanin"/>
                <w:rtl/>
              </w:rPr>
              <w:t>ب</w:t>
            </w:r>
            <w:r w:rsidRPr="00563B66">
              <w:rPr>
                <w:rFonts w:cs="B Nazanin" w:hint="cs"/>
                <w:rtl/>
              </w:rPr>
              <w:t>ی</w:t>
            </w:r>
            <w:r w:rsidRPr="00563B66">
              <w:rPr>
                <w:rFonts w:cs="B Nazanin" w:hint="eastAsia"/>
                <w:rtl/>
              </w:rPr>
              <w:t>ماران</w:t>
            </w:r>
            <w:r w:rsidRPr="00563B66">
              <w:rPr>
                <w:rFonts w:cs="B Nazanin"/>
                <w:rtl/>
              </w:rPr>
              <w:t xml:space="preserve"> مبتلا به که</w:t>
            </w:r>
            <w:r w:rsidRPr="00563B66">
              <w:rPr>
                <w:rFonts w:cs="B Nazanin" w:hint="cs"/>
                <w:rtl/>
              </w:rPr>
              <w:t>ی</w:t>
            </w:r>
            <w:r w:rsidRPr="00563B66">
              <w:rPr>
                <w:rFonts w:cs="B Nazanin" w:hint="eastAsia"/>
                <w:rtl/>
              </w:rPr>
              <w:t>ر</w:t>
            </w:r>
            <w:r w:rsidRPr="00563B66">
              <w:rPr>
                <w:rFonts w:cs="B Nazanin"/>
                <w:rtl/>
              </w:rPr>
              <w:t xml:space="preserve">  مزمن  مراجعه کننده به کل</w:t>
            </w:r>
            <w:r w:rsidRPr="00563B66">
              <w:rPr>
                <w:rFonts w:cs="B Nazanin" w:hint="cs"/>
                <w:rtl/>
              </w:rPr>
              <w:t>ی</w:t>
            </w:r>
            <w:r w:rsidRPr="00563B66">
              <w:rPr>
                <w:rFonts w:cs="B Nazanin" w:hint="eastAsia"/>
                <w:rtl/>
              </w:rPr>
              <w:t>ن</w:t>
            </w:r>
            <w:r w:rsidRPr="00563B66">
              <w:rPr>
                <w:rFonts w:cs="B Nazanin" w:hint="cs"/>
                <w:rtl/>
              </w:rPr>
              <w:t>ی</w:t>
            </w:r>
            <w:r w:rsidRPr="00563B66">
              <w:rPr>
                <w:rFonts w:cs="B Nazanin" w:hint="eastAsia"/>
                <w:rtl/>
              </w:rPr>
              <w:t>ک</w:t>
            </w:r>
            <w:r w:rsidRPr="00563B66">
              <w:rPr>
                <w:rFonts w:cs="B Nazanin"/>
                <w:rtl/>
              </w:rPr>
              <w:t xml:space="preserve"> آلرژ</w:t>
            </w:r>
            <w:r w:rsidRPr="00563B66">
              <w:rPr>
                <w:rFonts w:cs="B Nazanin" w:hint="cs"/>
                <w:rtl/>
              </w:rPr>
              <w:t>ی</w:t>
            </w:r>
            <w:r w:rsidRPr="00563B66">
              <w:rPr>
                <w:rFonts w:cs="B Nazanin"/>
                <w:rtl/>
              </w:rPr>
              <w:t xml:space="preserve"> ب</w:t>
            </w:r>
            <w:r w:rsidRPr="00563B66">
              <w:rPr>
                <w:rFonts w:cs="B Nazanin" w:hint="cs"/>
                <w:rtl/>
              </w:rPr>
              <w:t>ی</w:t>
            </w:r>
            <w:r w:rsidRPr="00563B66">
              <w:rPr>
                <w:rFonts w:cs="B Nazanin" w:hint="eastAsia"/>
                <w:rtl/>
              </w:rPr>
              <w:t>مارستان</w:t>
            </w:r>
            <w:r w:rsidRPr="00563B66">
              <w:rPr>
                <w:rFonts w:cs="B Nazanin"/>
                <w:rtl/>
              </w:rPr>
              <w:t xml:space="preserve"> قائم (عج) مشهد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563B66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که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مزمن مراجعه کننده به کل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الرژ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علوم پزشک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پس از آگاه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مورد 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جستر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فوا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 وکسب رضا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اطلاعاتشان در 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جستر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فوق الذکر  ا ثبت شده و اطلاعات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مشتمل بر موارد دموگراف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ک،اطلاعات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کل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،تر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گرها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،بار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همراه،سابقه خانوادگ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،فرمها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همزمان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،تشخ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 ،هز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 مورد انال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م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.پ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 از 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۳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ماه انجلم م</w:t>
            </w:r>
            <w:r w:rsidRPr="00563B66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63B66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563B66" w:rsidP="00563B66">
            <w:pPr>
              <w:bidi/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</w:pPr>
            <w:r>
              <w:rPr>
                <w:rFonts w:ascii="Arial" w:hAnsi="Arial" w:cs="Arial"/>
              </w:rPr>
              <w:t>T</w:t>
            </w:r>
            <w:r w:rsidRPr="004B7114">
              <w:rPr>
                <w:rFonts w:ascii="Arial" w:hAnsi="Arial" w:cs="Arial"/>
                <w:lang w:val="en-GB"/>
              </w:rPr>
              <w:t>he Urticaria Network e.v.</w:t>
            </w:r>
            <w:r>
              <w:rPr>
                <w:rFonts w:ascii="Arial" w:hAnsi="Arial" w:cs="Arial" w:hint="cs"/>
                <w:rtl/>
                <w:lang w:val="en-GB"/>
              </w:rPr>
              <w:t xml:space="preserve"> </w:t>
            </w:r>
            <w:r w:rsidRPr="001917A9">
              <w:rPr>
                <w:rFonts w:ascii="Arial" w:hAnsi="Arial" w:cs="Arial"/>
              </w:rPr>
              <w:t>- hereinafter „UNEV“</w:t>
            </w:r>
            <w:r>
              <w:rPr>
                <w:rFonts w:ascii="Arial" w:hAnsi="Arial" w:cs="Arial" w:hint="cs"/>
                <w:rtl/>
                <w:lang w:bidi="fa-IR"/>
              </w:rPr>
              <w:t xml:space="preserve">کشور آلمان </w:t>
            </w:r>
          </w:p>
        </w:tc>
        <w:tc>
          <w:tcPr>
            <w:tcW w:w="964" w:type="pct"/>
            <w:vAlign w:val="center"/>
          </w:tcPr>
          <w:p w:rsidR="0021707E" w:rsidRPr="00905D19" w:rsidRDefault="00563B66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مرکز مجری</w:t>
            </w:r>
            <w:r w:rsidR="0021707E"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1707E" w:rsidP="00C3758A">
            <w:pPr>
              <w:bidi/>
              <w:spacing w:line="360" w:lineRule="auto"/>
              <w:rPr>
                <w:rFonts w:cs="B Nazanin"/>
                <w:lang w:bidi="fa-IR"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حفظ محرمانگ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امن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داده‌ها- تع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سطوح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براساس نوع درخواست‌کننده (پژوهشگر، سازمان بهداشت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است‌گذار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سطوح مختلف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تعر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 تنها داده‌ها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در اخت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از سوءاستفاده جلوگ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شود-موافقت و رضا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مراحل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درخواست و تأ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درخواست‌ها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صورت مکتوب و رسم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ارائه شده و توسط کم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E02C9F" w:rsidRPr="00F92EC7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تبادل داده‌ها: تمام فرآ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تا قابل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حسابرس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داشته باشد.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0B1E38" w:rsidRPr="000B1E38" w:rsidRDefault="000B1E38" w:rsidP="000B1E38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</w:rPr>
      </w:pP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کنترل کیفی درونی (مشخص کردن دقیق متغیرها و تعاریف آنها در «دیکشنری داده‌ها» برای جلوگیری از ابهام و استفاده از نرم‌افزارهای دارای قابلیت اعتبارسنجی خودکار محدودیت‌های ورودی) برای کاهش خطاهای انسانی</w:t>
      </w:r>
    </w:p>
    <w:p w:rsidR="000B1E38" w:rsidRDefault="000B1E38" w:rsidP="000B1E38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  <w:rtl/>
        </w:rPr>
      </w:pP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کنترل کیفی بیرونی (بررسی تصادفی ۱۰ درصد از پرونده‌ها توسط کمیته تخصصی برای تأیید صحت تشخیص</w:t>
      </w:r>
      <w:r w:rsidRPr="000B1E38">
        <w:rPr>
          <w:rFonts w:ascii="Calibri" w:eastAsiaTheme="minorHAnsi" w:hAnsi="Calibri" w:cs="B Nazanin"/>
          <w:color w:val="000000"/>
          <w:sz w:val="22"/>
          <w:szCs w:val="22"/>
        </w:rPr>
        <w:t>.</w:t>
      </w:r>
      <w:r w:rsidRPr="000B1E38">
        <w:rPr>
          <w:rFonts w:ascii="Cambria" w:eastAsiaTheme="minorHAnsi" w:hAnsi="Cambria" w:cs="Cambria" w:hint="cs"/>
          <w:color w:val="000000"/>
          <w:sz w:val="22"/>
          <w:szCs w:val="22"/>
          <w:rtl/>
        </w:rPr>
        <w:t> 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تطبیق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داده‌های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ثبت‌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شده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با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معیارهای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استاندارد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)</w:t>
      </w:r>
    </w:p>
    <w:p w:rsidR="00563B66" w:rsidRDefault="00563B66">
      <w:pPr>
        <w:rPr>
          <w:rFonts w:ascii="Calibri" w:hAnsi="Calibri" w:cs="B Nazanin"/>
          <w:color w:val="000000"/>
          <w:rtl/>
        </w:rPr>
      </w:pPr>
      <w:r>
        <w:rPr>
          <w:rFonts w:ascii="Calibri" w:hAnsi="Calibri" w:cs="B Nazanin"/>
          <w:color w:val="000000"/>
          <w:rtl/>
        </w:rPr>
        <w:br w:type="page"/>
      </w:r>
    </w:p>
    <w:p w:rsidR="00563B66" w:rsidRPr="00912C63" w:rsidRDefault="00563B66" w:rsidP="00563B66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Titr"/>
          <w:b/>
          <w:bCs/>
          <w:color w:val="000000"/>
          <w:sz w:val="28"/>
          <w:szCs w:val="28"/>
          <w:rtl/>
        </w:rPr>
      </w:pPr>
      <w:r w:rsidRPr="00912C63">
        <w:rPr>
          <w:rFonts w:ascii="Calibri" w:eastAsiaTheme="minorHAnsi" w:hAnsi="Calibri" w:cs="B Titr" w:hint="cs"/>
          <w:b/>
          <w:bCs/>
          <w:color w:val="000000"/>
          <w:sz w:val="28"/>
          <w:szCs w:val="28"/>
          <w:rtl/>
        </w:rPr>
        <w:lastRenderedPageBreak/>
        <w:t>انتشار نتایج:</w:t>
      </w:r>
    </w:p>
    <w:tbl>
      <w:tblPr>
        <w:bidiVisual/>
        <w:tblW w:w="5864" w:type="pct"/>
        <w:tblInd w:w="-892" w:type="dxa"/>
        <w:tblLook w:val="04A0" w:firstRow="1" w:lastRow="0" w:firstColumn="1" w:lastColumn="0" w:noHBand="0" w:noVBand="1"/>
      </w:tblPr>
      <w:tblGrid>
        <w:gridCol w:w="3931"/>
        <w:gridCol w:w="835"/>
        <w:gridCol w:w="2428"/>
        <w:gridCol w:w="894"/>
        <w:gridCol w:w="562"/>
        <w:gridCol w:w="859"/>
        <w:gridCol w:w="1457"/>
      </w:tblGrid>
      <w:tr w:rsidR="00912C63" w:rsidRPr="00563B66" w:rsidTr="00912C63">
        <w:trPr>
          <w:trHeight w:val="795"/>
        </w:trPr>
        <w:tc>
          <w:tcPr>
            <w:tcW w:w="1812" w:type="pct"/>
            <w:tcBorders>
              <w:top w:val="single" w:sz="4" w:space="0" w:color="4F81BD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563B66" w:rsidRPr="00563B66" w:rsidRDefault="00563B66" w:rsidP="00563B66">
            <w:pPr>
              <w:bidi/>
              <w:spacing w:after="0" w:line="240" w:lineRule="auto"/>
              <w:jc w:val="center"/>
              <w:rPr>
                <w:rFonts w:ascii="Calibri" w:eastAsia="Times New Roman" w:hAnsi="Calibri" w:cs="B Badr"/>
                <w:b/>
                <w:bCs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400" w:type="pct"/>
            <w:tcBorders>
              <w:top w:val="single" w:sz="4" w:space="0" w:color="4F81BD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563B66" w:rsidRPr="00563B66" w:rsidRDefault="00563B66" w:rsidP="00563B66">
            <w:pPr>
              <w:bidi/>
              <w:spacing w:after="0" w:line="240" w:lineRule="auto"/>
              <w:jc w:val="center"/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</w:pPr>
            <w:r w:rsidRPr="00563B66"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  <w:t xml:space="preserve">سال انتشار مقاله </w:t>
            </w:r>
          </w:p>
        </w:tc>
        <w:tc>
          <w:tcPr>
            <w:tcW w:w="1010" w:type="pct"/>
            <w:tcBorders>
              <w:top w:val="single" w:sz="4" w:space="0" w:color="4F81BD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563B66" w:rsidRPr="00563B66" w:rsidRDefault="00563B66" w:rsidP="00563B66">
            <w:pPr>
              <w:bidi/>
              <w:spacing w:after="0" w:line="240" w:lineRule="auto"/>
              <w:jc w:val="center"/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</w:pPr>
            <w:r w:rsidRPr="00563B66"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  <w:t>عنوان ژورنال</w:t>
            </w:r>
          </w:p>
        </w:tc>
        <w:tc>
          <w:tcPr>
            <w:tcW w:w="408" w:type="pct"/>
            <w:tcBorders>
              <w:top w:val="single" w:sz="4" w:space="0" w:color="4F81BD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563B66" w:rsidRPr="00563B66" w:rsidRDefault="00563B66" w:rsidP="00563B66">
            <w:pPr>
              <w:bidi/>
              <w:spacing w:after="0" w:line="240" w:lineRule="auto"/>
              <w:jc w:val="center"/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</w:pPr>
            <w:r w:rsidRPr="00563B66"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  <w:t xml:space="preserve">ایندکس مجله </w:t>
            </w:r>
            <w:r w:rsidRPr="00563B66">
              <w:rPr>
                <w:rFonts w:ascii="Calibri" w:eastAsia="Times New Roman" w:hAnsi="Calibri" w:cs="B Badr" w:hint="cs"/>
                <w:b/>
                <w:bCs/>
                <w:sz w:val="20"/>
                <w:szCs w:val="20"/>
              </w:rPr>
              <w:t>IF</w:t>
            </w:r>
          </w:p>
        </w:tc>
        <w:tc>
          <w:tcPr>
            <w:tcW w:w="256" w:type="pct"/>
            <w:tcBorders>
              <w:top w:val="single" w:sz="4" w:space="0" w:color="4F81BD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563B66" w:rsidRPr="00563B66" w:rsidRDefault="00563B66" w:rsidP="00563B66">
            <w:pPr>
              <w:bidi/>
              <w:spacing w:after="0" w:line="240" w:lineRule="auto"/>
              <w:jc w:val="center"/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</w:pPr>
            <w:r w:rsidRPr="00563B66"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  <w:t>تعداد موارد ارجاع به مقاله</w:t>
            </w:r>
          </w:p>
        </w:tc>
        <w:tc>
          <w:tcPr>
            <w:tcW w:w="392" w:type="pct"/>
            <w:tcBorders>
              <w:top w:val="single" w:sz="4" w:space="0" w:color="4F81BD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563B66" w:rsidRPr="00563B66" w:rsidRDefault="00563B66" w:rsidP="00563B66">
            <w:pPr>
              <w:bidi/>
              <w:spacing w:after="0" w:line="240" w:lineRule="auto"/>
              <w:jc w:val="center"/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</w:pPr>
            <w:r w:rsidRPr="00563B66"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  <w:t xml:space="preserve">تعداد نویسندگان </w:t>
            </w:r>
          </w:p>
        </w:tc>
        <w:tc>
          <w:tcPr>
            <w:tcW w:w="721" w:type="pct"/>
            <w:tcBorders>
              <w:top w:val="single" w:sz="4" w:space="0" w:color="4F81BD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4F81BD" w:fill="4F81BD"/>
            <w:vAlign w:val="center"/>
            <w:hideMark/>
          </w:tcPr>
          <w:p w:rsidR="00563B66" w:rsidRPr="00563B66" w:rsidRDefault="00563B66" w:rsidP="00563B66">
            <w:pPr>
              <w:bidi/>
              <w:spacing w:after="0" w:line="240" w:lineRule="auto"/>
              <w:jc w:val="center"/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</w:pPr>
            <w:r w:rsidRPr="00563B66">
              <w:rPr>
                <w:rFonts w:ascii="Calibri" w:eastAsia="Times New Roman" w:hAnsi="Calibri" w:cs="B Badr" w:hint="cs"/>
                <w:b/>
                <w:bCs/>
                <w:sz w:val="20"/>
                <w:szCs w:val="20"/>
                <w:rtl/>
              </w:rPr>
              <w:t>تعداد نویسندگان بین المللی</w:t>
            </w:r>
          </w:p>
        </w:tc>
      </w:tr>
      <w:tr w:rsidR="00912C63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</w:t>
            </w:r>
            <w:bookmarkStart w:id="0" w:name="_GoBack"/>
            <w:bookmarkEnd w:id="0"/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urticaria patients are interested in apps to monitor their disease activity and control:A UCARE CURICT analysis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Clinical and Translational Allergy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5.871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36</w:t>
            </w:r>
          </w:p>
        </w:tc>
      </w:tr>
      <w:tr w:rsidR="00563B66" w:rsidRPr="00563B66" w:rsidTr="00912C63">
        <w:trPr>
          <w:trHeight w:val="126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Effects of pregnancy on chronic urticaria: Results of the PREG-CU UCARE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Allergy: European Journal of Allergy and Clinical Immunology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13.146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24</w:t>
            </w:r>
          </w:p>
        </w:tc>
      </w:tr>
      <w:tr w:rsidR="00912C63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Evaluation of the Reliability and Validity of the Persian Version of Urticaria Control Test (UCT) Questionnaire in Chronic Urticaria Patients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Iranian Journal of Allergy Asthma and Immunology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1.464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</w:t>
            </w:r>
          </w:p>
        </w:tc>
      </w:tr>
      <w:tr w:rsidR="00563B66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are patients with chronic urticaria interested in using information and communication technologies to guide their healthcare? A UCARE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World Allergy Organization Journal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3.506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23</w:t>
            </w:r>
          </w:p>
        </w:tc>
      </w:tr>
      <w:tr w:rsidR="00912C63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Significant association between Taq1 gene polymorphism in vitamin D receptor and chronic spontaneous urticaria in the Northeast of Iran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Clinical and molecular allergy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Pubmed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</w:tr>
      <w:tr w:rsidR="00563B66" w:rsidRPr="00563B66" w:rsidTr="00912C63">
        <w:trPr>
          <w:trHeight w:val="94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global burden of chronic urticaria for the patient and society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British Journal of Dermatology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21</w:t>
            </w:r>
          </w:p>
        </w:tc>
      </w:tr>
      <w:tr w:rsidR="00912C63" w:rsidRPr="00563B66" w:rsidTr="00912C63">
        <w:trPr>
          <w:trHeight w:val="126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Adrenaline autoinjector is underprescribed in typical cold urticaria patients living in tropical climate countries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Qatar Medical Journal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Pubmed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46</w:t>
            </w:r>
          </w:p>
        </w:tc>
      </w:tr>
      <w:tr w:rsidR="00563B66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Temperament and Personality Traits in Patients with Chronic Spontaneous Urticaria: A Cross-Sectional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Iranian Journal of Psychiatry and Behavioral Sciences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ESCI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</w:tr>
      <w:tr w:rsidR="00912C63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Urticarial vasculitis versus chronic spontaneous urticarial-Natural history, disease course and response to treatment-A UCARE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Experimental Dermatology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</w:t>
            </w:r>
          </w:p>
        </w:tc>
      </w:tr>
      <w:tr w:rsidR="00563B66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Effects of COVID-19 vaccination on chronic urticaria patients: First results of the UCARE COVAC-CU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Allergy: European Journal of Allergy and Clinical Immunology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60</w:t>
            </w:r>
          </w:p>
        </w:tc>
      </w:tr>
      <w:tr w:rsidR="00912C63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Exploring Common Symptoms in Patients with Respiratory Allergies Using K-Means Algorithm in the North-East of Iran in 2012–2015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Tanaffos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PubMed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B66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Benefit of Complete Response to Treatment in Patients With Chronic Spontaneous Urticaria— CURE Results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Allergy and Clinical Immunology: In Practice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11.022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27</w:t>
            </w:r>
          </w:p>
        </w:tc>
      </w:tr>
      <w:tr w:rsidR="00912C63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Benefit of Complete Response to Treatment in Patients With Chronic Spontaneous Urticaria-CURE Results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 Allergy Clin Immunol Pract</w:t>
            </w: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. 2023 Feb;11(2):610-620.e5.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</w:tr>
      <w:tr w:rsidR="00563B66" w:rsidRPr="00563B66" w:rsidTr="00912C63">
        <w:trPr>
          <w:trHeight w:val="126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IgE levels are linked to the course of chronic spontaneous urticaria during pregnancy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Allergy and Clinical Immunology: In Practice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11.022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18</w:t>
            </w:r>
          </w:p>
        </w:tc>
      </w:tr>
      <w:tr w:rsidR="00912C63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Treatment patterns and outcomes in patients with chronic urticaria during pregnancy: Results of PREG‐CU, a UCARE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the European Academy of Dermatology and Venereology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9.228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27</w:t>
            </w:r>
          </w:p>
        </w:tc>
      </w:tr>
      <w:tr w:rsidR="00563B66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Urticaria exacerbations and adverse reactions in patients with chronic urticaria receiving COVID-19 vaccination: Results of the UCARE COVAC-CU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Allergy and Clinical Immunology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</w:tr>
      <w:tr w:rsidR="00912C63" w:rsidRPr="00563B66" w:rsidTr="00912C63">
        <w:trPr>
          <w:trHeight w:val="252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Urticarial Vasculitis Differs from Chronic Spontaneous Urticaria in Time to Diagnosis, Clinical Presentation, and Need for Anti-Inflammatory Treatment: An International Prospective UCARE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Allergy and Clinical Immunology: In Practice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563B66" w:rsidRPr="00563B66" w:rsidTr="00912C63">
        <w:trPr>
          <w:trHeight w:val="220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Usage prevalence of angioedema patient-reported outcome measures: Results from the UCARE and ACARE PROMUSE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 Allergy Clin Immunol Pract. 2024 Aug;12(8):2211-2215.e1. doi: 10.1016/j.jaip.2024.04.056. Epub 2024 May 10.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66</w:t>
            </w:r>
          </w:p>
        </w:tc>
      </w:tr>
      <w:tr w:rsidR="00912C63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Usage prevalence of angioedema patient–reported outcome measures: Results from the UCARE and ACARE PROMUSE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The Journal of Allergy and Clinical Immunology: In Practice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66</w:t>
            </w:r>
          </w:p>
        </w:tc>
      </w:tr>
      <w:tr w:rsidR="00563B66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Patient-Reported Outcome Measures in Atopic Dermatitis and Chronic Urticaria Are Underused in Clinical Practice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ALLERGY AND CLINICAL IMMUNOLOGY-IN PRACTICE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79</w:t>
            </w:r>
          </w:p>
        </w:tc>
      </w:tr>
      <w:tr w:rsidR="00912C63" w:rsidRPr="00563B66" w:rsidTr="00912C63">
        <w:trPr>
          <w:trHeight w:val="220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Non–Skin Related Symptoms Are Common in Chronic Spontaneous Urticaria and Linked to Active and Uncontrolled Disease: Results From the Chronic Urticaria Registry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The Journal of Allergy and Clinical Immunology: In Practice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32</w:t>
            </w:r>
          </w:p>
        </w:tc>
      </w:tr>
      <w:tr w:rsidR="00563B66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Prevalence of Nasal Carriage of Staphylococcus aureus in Chronic Spontaneous Urticaria and Its Association with Disease Control Status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Patient Safety &amp; Quality Improvement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</w:tr>
      <w:tr w:rsidR="00912C63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Enhancing Angioedema Patient Care: Unveiling Underutilization and Barriers in the Implementation of Patient-Reported Outcome Measurements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Allergy and Clinical Immunology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44</w:t>
            </w:r>
          </w:p>
        </w:tc>
      </w:tr>
      <w:tr w:rsidR="00563B66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Actual real-world application of PROMs in Asthma and Rhinitis as advised by guidelines: PROMUSE Respiratory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Allergy and Clinical Immunology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</w:t>
            </w:r>
          </w:p>
        </w:tc>
      </w:tr>
      <w:tr w:rsidR="00912C63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Urticaria Patients Are Highly Interested in Apps to Monitor Their Disease Activity and Control: A UCARE CURICT Analysis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Authorea Preprints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35</w:t>
            </w:r>
          </w:p>
        </w:tc>
      </w:tr>
      <w:tr w:rsidR="00563B66" w:rsidRPr="00563B66" w:rsidTr="00912C63">
        <w:trPr>
          <w:trHeight w:val="126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Cost-effective omalizumab dosage for chronic urticaria: a systematic review and network meta-analysis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Archives of dermatological research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</w:tr>
      <w:tr w:rsidR="00912C63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Validity, reliability and responsiveness of digital visual analogue scales for chronic spontaneous urticaria monitoring: A CRUSE® mobile health study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Allergy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12.6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53</w:t>
            </w:r>
          </w:p>
        </w:tc>
      </w:tr>
      <w:tr w:rsidR="00563B66" w:rsidRPr="00563B66" w:rsidTr="00912C63">
        <w:trPr>
          <w:trHeight w:val="1575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Impact of Sleep Disorders on Quality of Life and Disease Control in Chronic Urticaria Patients: A Cross-Sectional Analysis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Allergy and Clinical Immunology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40</w:t>
            </w:r>
          </w:p>
        </w:tc>
      </w:tr>
      <w:tr w:rsidR="00912C63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Expression of STAT3, IL27p28 and IL12p35 is deregulated and linked to autoimmune markers in chronic spontaneous urticaria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Clinical and Experimental Dermatology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B66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  <w:hideMark/>
          </w:tcPr>
          <w:p w:rsidR="00563B66" w:rsidRPr="00563B66" w:rsidRDefault="00563B66" w:rsidP="00563B66">
            <w:pPr>
              <w:spacing w:after="0" w:line="240" w:lineRule="auto"/>
              <w:jc w:val="center"/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</w:pPr>
            <w:r w:rsidRPr="00563B66">
              <w:rPr>
                <w:rFonts w:ascii="Calibri" w:eastAsia="Times New Roman" w:hAnsi="Calibri" w:cs="B Badr" w:hint="cs"/>
                <w:color w:val="000000"/>
                <w:sz w:val="20"/>
                <w:szCs w:val="20"/>
              </w:rPr>
              <w:t>0</w:t>
            </w:r>
          </w:p>
        </w:tc>
      </w:tr>
      <w:tr w:rsidR="00912C63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 matters in CSU: Women face greater burden and poorer urticaria control, especially in midlife-CURE insights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 Eur Acad Dermatol Venereol</w:t>
            </w: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. 2026 Jan;40(1):67-78. doi: 10.1111/jdv.70027. Epub 2025 Sep 18.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B66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Parameters Linked With Higher Itch Severity in Chronic Spontaneous Urticaria-Chronic Urticaria Registry Results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J Allergy Clin Immunol Pract</w:t>
            </w: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. 2025 Sep;13(9):2349-2360.e3. doi: 10.1016/j.jaip.2025.05.033.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12C63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Diagnostic Delay in Patients With Chronic Urticaria: Results From the Chronic Urticaria Registry (CURE)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 Exp Allergy</w:t>
            </w: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. 2026 Apr;56(4):411-420. doi: 10.1111/cea.70215.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B66" w:rsidRPr="00563B66" w:rsidTr="00912C63">
        <w:trPr>
          <w:trHeight w:val="189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 Synthetic Data Allow for Smaller Sample Sizes in Chronic Urticaria Research?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Clin Transl Allergy</w:t>
            </w: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. 2025 Aug;15(8):e70087. doi: 10.1002/clt2.70087.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vAlign w:val="center"/>
          </w:tcPr>
          <w:p w:rsidR="00563B66" w:rsidRPr="0062502A" w:rsidRDefault="00563B66" w:rsidP="00625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25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563B66" w:rsidRDefault="00563B66" w:rsidP="00563B66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  <w:rtl/>
        </w:rPr>
      </w:pPr>
    </w:p>
    <w:p w:rsidR="000B1E38" w:rsidRDefault="000B1E38">
      <w:pPr>
        <w:rPr>
          <w:rFonts w:ascii="Calibri" w:hAnsi="Calibri" w:cs="B Nazanin"/>
          <w:color w:val="000000"/>
          <w:rtl/>
        </w:rPr>
      </w:pPr>
    </w:p>
    <w:sectPr w:rsidR="000B1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13E" w:rsidRDefault="0034613E" w:rsidP="003B26D8">
      <w:pPr>
        <w:spacing w:after="0" w:line="240" w:lineRule="auto"/>
      </w:pPr>
      <w:r>
        <w:separator/>
      </w:r>
    </w:p>
  </w:endnote>
  <w:endnote w:type="continuationSeparator" w:id="0">
    <w:p w:rsidR="0034613E" w:rsidRDefault="0034613E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13E" w:rsidRDefault="0034613E" w:rsidP="003B26D8">
      <w:pPr>
        <w:spacing w:after="0" w:line="240" w:lineRule="auto"/>
      </w:pPr>
      <w:r>
        <w:separator/>
      </w:r>
    </w:p>
  </w:footnote>
  <w:footnote w:type="continuationSeparator" w:id="0">
    <w:p w:rsidR="0034613E" w:rsidRDefault="0034613E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237"/>
    <w:multiLevelType w:val="hybridMultilevel"/>
    <w:tmpl w:val="8014FD6E"/>
    <w:lvl w:ilvl="0" w:tplc="0409000F">
      <w:start w:val="1"/>
      <w:numFmt w:val="decimal"/>
      <w:lvlText w:val="%1.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96398"/>
    <w:rsid w:val="000A1BF4"/>
    <w:rsid w:val="000B1E38"/>
    <w:rsid w:val="000F4388"/>
    <w:rsid w:val="00107E93"/>
    <w:rsid w:val="001226AC"/>
    <w:rsid w:val="001D6E8B"/>
    <w:rsid w:val="0021707E"/>
    <w:rsid w:val="002405F5"/>
    <w:rsid w:val="002B5331"/>
    <w:rsid w:val="002B6C55"/>
    <w:rsid w:val="002B703A"/>
    <w:rsid w:val="002D6E6C"/>
    <w:rsid w:val="003267FC"/>
    <w:rsid w:val="00336737"/>
    <w:rsid w:val="0034613E"/>
    <w:rsid w:val="00351267"/>
    <w:rsid w:val="00377558"/>
    <w:rsid w:val="003A4094"/>
    <w:rsid w:val="003B26D8"/>
    <w:rsid w:val="003D7B52"/>
    <w:rsid w:val="004D32E6"/>
    <w:rsid w:val="004E3D8F"/>
    <w:rsid w:val="004F7358"/>
    <w:rsid w:val="00542C8A"/>
    <w:rsid w:val="00544B94"/>
    <w:rsid w:val="00563B66"/>
    <w:rsid w:val="005708BA"/>
    <w:rsid w:val="0058477F"/>
    <w:rsid w:val="005B5B28"/>
    <w:rsid w:val="0062502A"/>
    <w:rsid w:val="006331A5"/>
    <w:rsid w:val="00661AFD"/>
    <w:rsid w:val="00663DBA"/>
    <w:rsid w:val="00683ED2"/>
    <w:rsid w:val="00695DB1"/>
    <w:rsid w:val="006D2333"/>
    <w:rsid w:val="00701BFA"/>
    <w:rsid w:val="00705A78"/>
    <w:rsid w:val="007178D4"/>
    <w:rsid w:val="00723CB8"/>
    <w:rsid w:val="0074706A"/>
    <w:rsid w:val="00761414"/>
    <w:rsid w:val="00765E53"/>
    <w:rsid w:val="00790B37"/>
    <w:rsid w:val="007B2C1D"/>
    <w:rsid w:val="007C70C9"/>
    <w:rsid w:val="00804766"/>
    <w:rsid w:val="008328D5"/>
    <w:rsid w:val="00834F58"/>
    <w:rsid w:val="00902A25"/>
    <w:rsid w:val="00905D19"/>
    <w:rsid w:val="00912C63"/>
    <w:rsid w:val="00915E37"/>
    <w:rsid w:val="009306FC"/>
    <w:rsid w:val="00934B4E"/>
    <w:rsid w:val="009743C6"/>
    <w:rsid w:val="0099304B"/>
    <w:rsid w:val="009A116D"/>
    <w:rsid w:val="009C2CB2"/>
    <w:rsid w:val="00AC2373"/>
    <w:rsid w:val="00AE00B6"/>
    <w:rsid w:val="00AE2B8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BF453E"/>
    <w:rsid w:val="00C04DB6"/>
    <w:rsid w:val="00C3758A"/>
    <w:rsid w:val="00C72689"/>
    <w:rsid w:val="00C769AC"/>
    <w:rsid w:val="00C84822"/>
    <w:rsid w:val="00CB3C3F"/>
    <w:rsid w:val="00CC6069"/>
    <w:rsid w:val="00CC6982"/>
    <w:rsid w:val="00D1526E"/>
    <w:rsid w:val="00D16364"/>
    <w:rsid w:val="00D30F6D"/>
    <w:rsid w:val="00D72171"/>
    <w:rsid w:val="00DB1597"/>
    <w:rsid w:val="00DB59BB"/>
    <w:rsid w:val="00DC1618"/>
    <w:rsid w:val="00DD0C33"/>
    <w:rsid w:val="00DD78DB"/>
    <w:rsid w:val="00DE52D7"/>
    <w:rsid w:val="00DF5FC7"/>
    <w:rsid w:val="00E02C9F"/>
    <w:rsid w:val="00EB493C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E152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0B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777DE-277C-45E6-9B24-A5CEE34D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10</cp:revision>
  <dcterms:created xsi:type="dcterms:W3CDTF">2026-04-06T08:11:00Z</dcterms:created>
  <dcterms:modified xsi:type="dcterms:W3CDTF">2026-06-01T07:31:00Z</dcterms:modified>
</cp:coreProperties>
</file>